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A66" w:rsidRPr="00B03A66" w:rsidRDefault="00B03A66" w:rsidP="001A2F10">
      <w:pPr>
        <w:spacing w:before="240" w:after="240" w:line="240" w:lineRule="auto"/>
        <w:jc w:val="center"/>
        <w:rPr>
          <w:rFonts w:ascii="Tahoma" w:eastAsia="Times New Roman" w:hAnsi="Tahoma" w:cs="Tahoma"/>
          <w:sz w:val="24"/>
          <w:szCs w:val="24"/>
          <w:lang w:val="es-ES" w:eastAsia="es-CO"/>
        </w:rPr>
      </w:pPr>
      <w:r w:rsidRPr="00BE5D3C">
        <w:rPr>
          <w:rFonts w:ascii="Tahoma" w:eastAsia="Times New Roman" w:hAnsi="Tahoma" w:cs="Tahoma"/>
          <w:b/>
          <w:bCs/>
          <w:sz w:val="24"/>
          <w:szCs w:val="24"/>
          <w:lang w:val="es-ES" w:eastAsia="es-CO"/>
        </w:rPr>
        <w:t>Requisitos de ascenso o reubicación salarial en el Escalafón Nacional Docente 1278</w:t>
      </w:r>
      <w:r w:rsidR="008B5EBC" w:rsidRPr="00BE5D3C">
        <w:rPr>
          <w:rFonts w:ascii="Tahoma" w:eastAsia="Times New Roman" w:hAnsi="Tahoma" w:cs="Tahoma"/>
          <w:b/>
          <w:bCs/>
          <w:sz w:val="24"/>
          <w:szCs w:val="24"/>
          <w:lang w:val="es-ES" w:eastAsia="es-CO"/>
        </w:rPr>
        <w:t xml:space="preserve"> de 2002, Proceso de Eva</w:t>
      </w:r>
      <w:r w:rsidR="006F174A">
        <w:rPr>
          <w:rFonts w:ascii="Tahoma" w:eastAsia="Times New Roman" w:hAnsi="Tahoma" w:cs="Tahoma"/>
          <w:b/>
          <w:bCs/>
          <w:sz w:val="24"/>
          <w:szCs w:val="24"/>
          <w:lang w:val="es-ES" w:eastAsia="es-CO"/>
        </w:rPr>
        <w:t>luación de Competencias año 201</w:t>
      </w:r>
      <w:r w:rsidR="00945096">
        <w:rPr>
          <w:rFonts w:ascii="Tahoma" w:eastAsia="Times New Roman" w:hAnsi="Tahoma" w:cs="Tahoma"/>
          <w:b/>
          <w:bCs/>
          <w:sz w:val="24"/>
          <w:szCs w:val="24"/>
          <w:lang w:val="es-ES" w:eastAsia="es-CO"/>
        </w:rPr>
        <w:t>4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8"/>
      </w:tblGrid>
      <w:tr w:rsidR="00BE5D3C" w:rsidRPr="00B03A66" w:rsidTr="00B03A66">
        <w:trPr>
          <w:tblCellSpacing w:w="0" w:type="dxa"/>
        </w:trPr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66" w:rsidRPr="00B03A66" w:rsidRDefault="00B03A66" w:rsidP="001A2F10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</w:pPr>
            <w:r w:rsidRPr="00BE5D3C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  <w:t xml:space="preserve">ESPECIFICACIONES: </w:t>
            </w:r>
            <w:r w:rsidR="00BF1C9A" w:rsidRPr="00BE5D3C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  <w:t>PRIMERA REUBICACIÓN</w:t>
            </w:r>
            <w:r w:rsidRPr="00BE5D3C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  <w:t xml:space="preserve"> SALARIAL</w:t>
            </w:r>
          </w:p>
        </w:tc>
      </w:tr>
      <w:tr w:rsidR="00BE5D3C" w:rsidRPr="00B03A66" w:rsidTr="00B03A66">
        <w:trPr>
          <w:tblCellSpacing w:w="0" w:type="dxa"/>
        </w:trPr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66" w:rsidRPr="00B03A66" w:rsidRDefault="00B03A66" w:rsidP="001116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525"/>
              <w:jc w:val="both"/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</w:pPr>
            <w:r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Estar nombrado en propiedad</w:t>
            </w:r>
          </w:p>
          <w:p w:rsidR="00B03A66" w:rsidRPr="00B03A66" w:rsidRDefault="00B03A66" w:rsidP="001116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525"/>
              <w:jc w:val="both"/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</w:pPr>
            <w:r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Estar inscrito en el Escalafón.</w:t>
            </w:r>
          </w:p>
          <w:p w:rsidR="00B03A66" w:rsidRPr="00B03A66" w:rsidRDefault="00B03A66" w:rsidP="001116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525"/>
              <w:jc w:val="both"/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</w:pPr>
            <w:r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Haber cumplido tres (3) años de servicio contados a partir de la fecha de posesión en Período de</w:t>
            </w:r>
            <w:r w:rsidR="009E02E2"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 </w:t>
            </w:r>
            <w:r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Prueba.</w:t>
            </w:r>
          </w:p>
          <w:p w:rsidR="00B03A66" w:rsidRPr="00B03A66" w:rsidRDefault="00B03A66" w:rsidP="001116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525"/>
              <w:jc w:val="both"/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</w:pPr>
            <w:r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Calificación mínima del 60% en la Evaluación ordinaria de desempeño anual durante los dos (2) períodos consecutivos inmediatamente anteriores al proceso de inscripción en la Convocatoria de Evaluación de Competencias</w:t>
            </w:r>
            <w:r w:rsidR="00242E9A"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 (</w:t>
            </w:r>
            <w:r w:rsidR="000B3D83"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aportar fotocopia de los </w:t>
            </w:r>
            <w:r w:rsidR="00D67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años 20</w:t>
            </w:r>
            <w:r w:rsidR="0094509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12</w:t>
            </w:r>
            <w:r w:rsidR="00242E9A"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 y 201</w:t>
            </w:r>
            <w:r w:rsidR="0094509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3</w:t>
            </w:r>
            <w:r w:rsidR="00242E9A"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)</w:t>
            </w:r>
            <w:r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.</w:t>
            </w:r>
          </w:p>
          <w:p w:rsidR="00B03A66" w:rsidRPr="00B03A66" w:rsidRDefault="00B03A66" w:rsidP="001116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525"/>
              <w:jc w:val="both"/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</w:pPr>
            <w:r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Haber superado la Evaluación de Competencias con un puntaje superior al 80%.</w:t>
            </w:r>
          </w:p>
          <w:p w:rsidR="00B03A66" w:rsidRPr="00B03A66" w:rsidRDefault="00B03A66" w:rsidP="001116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525"/>
              <w:jc w:val="both"/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</w:pPr>
            <w:r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Formulario debidamente diligenciado.</w:t>
            </w:r>
            <w:r w:rsidR="0094509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 </w:t>
            </w:r>
            <w:r w:rsidR="0094509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(anexar correo electrónico).</w:t>
            </w:r>
          </w:p>
          <w:p w:rsidR="00B03A66" w:rsidRPr="00B03A66" w:rsidRDefault="00B03A66" w:rsidP="005C6C7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525"/>
              <w:jc w:val="both"/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</w:pPr>
            <w:r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Consignación al Banco Popular. Cuenta: 19100145-2. A nombre de la Tesorería General </w:t>
            </w:r>
            <w:r w:rsidR="005C6C72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del Departamento. Valor año 2014</w:t>
            </w:r>
            <w:r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: cuatro mil </w:t>
            </w:r>
            <w:r w:rsidR="005C6C72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sete</w:t>
            </w:r>
            <w:r w:rsidR="00580934"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cientos</w:t>
            </w:r>
            <w:r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 pesos (</w:t>
            </w:r>
            <w:r w:rsidR="003D768C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  <w:t>$4.7</w:t>
            </w:r>
            <w:r w:rsidRPr="00BE5D3C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  <w:t>00</w:t>
            </w:r>
            <w:r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).</w:t>
            </w:r>
          </w:p>
        </w:tc>
      </w:tr>
      <w:tr w:rsidR="00BE5D3C" w:rsidRPr="00B03A66" w:rsidTr="00B03A66">
        <w:trPr>
          <w:tblCellSpacing w:w="0" w:type="dxa"/>
        </w:trPr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66" w:rsidRPr="00B03A66" w:rsidRDefault="00B03A66" w:rsidP="001A2F10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</w:pPr>
            <w:r w:rsidRPr="00BE5D3C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  <w:t xml:space="preserve">ESPECIFICACIONES </w:t>
            </w:r>
            <w:r w:rsidR="00621D2B" w:rsidRPr="00BE5D3C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  <w:t xml:space="preserve">PRIMER </w:t>
            </w:r>
            <w:r w:rsidRPr="00BE5D3C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  <w:t>ASCENSO</w:t>
            </w:r>
          </w:p>
        </w:tc>
      </w:tr>
      <w:tr w:rsidR="00BE5D3C" w:rsidRPr="00BE5D3C" w:rsidTr="00B03A66">
        <w:trPr>
          <w:tblCellSpacing w:w="0" w:type="dxa"/>
        </w:trPr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326" w:rsidRPr="00B03A66" w:rsidRDefault="00945326" w:rsidP="0011165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25"/>
              <w:jc w:val="both"/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</w:pPr>
            <w:r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Estar nombrado en propiedad.</w:t>
            </w:r>
          </w:p>
          <w:p w:rsidR="00945326" w:rsidRPr="00B03A66" w:rsidRDefault="00945326" w:rsidP="0011165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25"/>
              <w:jc w:val="both"/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</w:pPr>
            <w:r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Estar inscrito en el Escalafón.</w:t>
            </w:r>
          </w:p>
          <w:p w:rsidR="008009AC" w:rsidRPr="00BE5D3C" w:rsidRDefault="00945326" w:rsidP="0011165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25"/>
              <w:jc w:val="both"/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</w:pPr>
            <w:r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Haber cumplido tres (3) años de servicio contados a partir de la fecha de posesión en Período de Prueba.</w:t>
            </w:r>
          </w:p>
          <w:p w:rsidR="008009AC" w:rsidRPr="00B03A66" w:rsidRDefault="00945326" w:rsidP="0011165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25"/>
              <w:jc w:val="both"/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</w:pPr>
            <w:r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Calificación mínima del 60% en la Evaluación ordinaria de desempeño anual durante los dos (2) períodos consecutivos inmediatamente anteriores al proceso de inscripción en la Convocatoria de Evaluación de Competencias.</w:t>
            </w:r>
            <w:r w:rsidR="008009AC"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 (</w:t>
            </w:r>
            <w:r w:rsidR="000B3D83"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aportar fotocopia de los </w:t>
            </w:r>
            <w:r w:rsidR="00907B8A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años 201</w:t>
            </w:r>
            <w:r w:rsidR="0094509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2</w:t>
            </w:r>
            <w:r w:rsidR="008009AC"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y 201</w:t>
            </w:r>
            <w:r w:rsidR="0094509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3</w:t>
            </w:r>
            <w:r w:rsidR="008009AC"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)</w:t>
            </w:r>
            <w:r w:rsidR="008009AC"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.</w:t>
            </w:r>
          </w:p>
          <w:p w:rsidR="00945326" w:rsidRPr="00B03A66" w:rsidRDefault="00945326" w:rsidP="0011165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25"/>
              <w:jc w:val="both"/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</w:pPr>
            <w:r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Haber superado la Evaluación de Competencias con un puntaje superior al 80%.</w:t>
            </w:r>
          </w:p>
          <w:p w:rsidR="00945326" w:rsidRPr="00B03A66" w:rsidRDefault="001F43CB" w:rsidP="0011165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25"/>
              <w:jc w:val="both"/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</w:pPr>
            <w:r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Fotocopia del acta de grado</w:t>
            </w:r>
            <w:r w:rsidR="0004626A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 registrada</w:t>
            </w:r>
            <w:r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 </w:t>
            </w:r>
            <w:r w:rsidR="0094509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(Autenticado en notaría)</w:t>
            </w:r>
            <w:r w:rsidR="0094509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 </w:t>
            </w:r>
            <w:r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y t</w:t>
            </w:r>
            <w:r w:rsidR="00945326"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ítulo Académico exigido para cada uno de los grados: Grado 2: Licenciado o Profesional. Grado 3: Maestría o Doctorado en un área afín a la de su especialidad  o desempeño, o en un área de formación considerada fundamental dentro del proceso Enseñanza-Aprendizaje de los estudiantes.</w:t>
            </w:r>
          </w:p>
          <w:p w:rsidR="00814608" w:rsidRPr="00BE5D3C" w:rsidRDefault="00945326" w:rsidP="0011165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25"/>
              <w:jc w:val="both"/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</w:pPr>
            <w:r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Form</w:t>
            </w:r>
            <w:r w:rsidR="0094509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ulario debidamente diligenciado (anexar correo electrónico).</w:t>
            </w:r>
          </w:p>
          <w:p w:rsidR="00BF1C9A" w:rsidRPr="00BE5D3C" w:rsidRDefault="00ED3836" w:rsidP="00320A8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25"/>
              <w:jc w:val="both"/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</w:pPr>
            <w:r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Consignación al Banco Popular. Cuenta: 19100145-2. A nombre de la Tesorería General </w:t>
            </w:r>
            <w:r w:rsidR="00320A89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del Departamento. Valor año 2014</w:t>
            </w:r>
            <w:r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: cuatro mil </w:t>
            </w:r>
            <w:r w:rsidR="00320A89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sete</w:t>
            </w:r>
            <w:r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cientos</w:t>
            </w:r>
            <w:r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 </w:t>
            </w:r>
            <w:r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lastRenderedPageBreak/>
              <w:t>pesos (</w:t>
            </w:r>
            <w:r w:rsidR="00320A8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  <w:t>$4.7</w:t>
            </w:r>
            <w:r w:rsidRPr="00BE5D3C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  <w:t>00</w:t>
            </w:r>
            <w:r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).</w:t>
            </w:r>
          </w:p>
        </w:tc>
      </w:tr>
      <w:tr w:rsidR="00BE5D3C" w:rsidRPr="00BE5D3C" w:rsidTr="00B03A66">
        <w:trPr>
          <w:tblCellSpacing w:w="0" w:type="dxa"/>
        </w:trPr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8F8" w:rsidRPr="00BE5D3C" w:rsidRDefault="002478F8" w:rsidP="0011165F">
            <w:pPr>
              <w:spacing w:before="100" w:beforeAutospacing="1" w:after="100" w:afterAutospacing="1" w:line="240" w:lineRule="auto"/>
              <w:ind w:left="525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</w:pPr>
          </w:p>
          <w:p w:rsidR="00F73628" w:rsidRPr="00BE5D3C" w:rsidRDefault="002478F8" w:rsidP="00732CCC">
            <w:pPr>
              <w:spacing w:before="100" w:beforeAutospacing="1" w:after="100" w:afterAutospacing="1" w:line="240" w:lineRule="auto"/>
              <w:ind w:left="525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</w:pPr>
            <w:r w:rsidRPr="00BE5D3C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  <w:t xml:space="preserve">ESPECIFICACIONES: </w:t>
            </w:r>
            <w:r w:rsidR="00E11633" w:rsidRPr="00BE5D3C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  <w:t>SEGUNDA</w:t>
            </w:r>
            <w:r w:rsidR="001F178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  <w:t>,</w:t>
            </w:r>
            <w:r w:rsidR="00485E8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  <w:t xml:space="preserve"> TERCERA</w:t>
            </w:r>
            <w:r w:rsidRPr="00BE5D3C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  <w:t xml:space="preserve"> </w:t>
            </w:r>
            <w:r w:rsidR="001F178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  <w:t xml:space="preserve">O CUARTA </w:t>
            </w:r>
            <w:r w:rsidRPr="00BE5D3C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  <w:t>REUBICACIÓN SALARIAL</w:t>
            </w:r>
          </w:p>
          <w:p w:rsidR="002478F8" w:rsidRPr="00BE5D3C" w:rsidRDefault="002478F8" w:rsidP="0011165F">
            <w:pPr>
              <w:spacing w:before="100" w:beforeAutospacing="1" w:after="100" w:afterAutospacing="1" w:line="240" w:lineRule="auto"/>
              <w:ind w:left="525"/>
              <w:jc w:val="both"/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</w:pPr>
          </w:p>
        </w:tc>
      </w:tr>
      <w:tr w:rsidR="00BE5D3C" w:rsidRPr="00BE5D3C" w:rsidTr="00B03A66">
        <w:trPr>
          <w:tblCellSpacing w:w="0" w:type="dxa"/>
        </w:trPr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C09" w:rsidRPr="00BE5D3C" w:rsidRDefault="002478F8" w:rsidP="0011165F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42" w:hanging="42"/>
              <w:jc w:val="both"/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</w:pPr>
            <w:r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Calificación mínima del 60% en la Evaluación ordinaria de desempeño anual durante los dos (2) períodos consecutivos inmediatamente anteriores al proceso de inscripción en la Convocatoria de Evaluación de Competencias (ap</w:t>
            </w:r>
            <w:r w:rsidR="00247979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ortar fotocopia de los años 201</w:t>
            </w:r>
            <w:r w:rsidR="0094509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2</w:t>
            </w:r>
            <w:r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 y 2</w:t>
            </w:r>
            <w:r w:rsidR="00247979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01</w:t>
            </w:r>
            <w:r w:rsidR="0094509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3</w:t>
            </w:r>
            <w:r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).</w:t>
            </w:r>
          </w:p>
          <w:p w:rsidR="002C5C09" w:rsidRPr="00BE5D3C" w:rsidRDefault="002478F8" w:rsidP="0011165F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42" w:hanging="42"/>
              <w:jc w:val="both"/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</w:pPr>
            <w:r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Haber superado la Evaluación de Competencias con un puntaje superior al 80%.</w:t>
            </w:r>
          </w:p>
          <w:p w:rsidR="002C5C09" w:rsidRPr="00BE5D3C" w:rsidRDefault="002478F8" w:rsidP="0011165F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42" w:hanging="42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</w:pPr>
            <w:r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Formulario debidamente diligenciado.</w:t>
            </w:r>
            <w:r w:rsidR="0094509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 </w:t>
            </w:r>
            <w:r w:rsidR="0094509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(anexar correo electrónico).</w:t>
            </w:r>
          </w:p>
          <w:p w:rsidR="002478F8" w:rsidRPr="00BE5D3C" w:rsidRDefault="002478F8" w:rsidP="00247979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42" w:hanging="42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</w:pPr>
            <w:r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Consignación al Banco Popular. Cuenta: 19100145-2. A nombre de la Tesorería General </w:t>
            </w:r>
            <w:r w:rsidR="00B64763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del Departamento. Valor año 201</w:t>
            </w:r>
            <w:r w:rsidR="00247979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4</w:t>
            </w:r>
            <w:r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: cuatro mil </w:t>
            </w:r>
            <w:r w:rsidR="00247979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sete</w:t>
            </w:r>
            <w:r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cientos</w:t>
            </w:r>
            <w:r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 pesos (</w:t>
            </w:r>
            <w:r w:rsidR="0024797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  <w:t>$4.7</w:t>
            </w:r>
            <w:r w:rsidRPr="00BE5D3C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  <w:t>00</w:t>
            </w:r>
            <w:r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).</w:t>
            </w:r>
          </w:p>
        </w:tc>
      </w:tr>
      <w:tr w:rsidR="00BE5D3C" w:rsidRPr="00BE5D3C" w:rsidTr="00B03A66">
        <w:trPr>
          <w:tblCellSpacing w:w="0" w:type="dxa"/>
        </w:trPr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C3C" w:rsidRPr="00BE5D3C" w:rsidRDefault="00130C3C" w:rsidP="0011165F">
            <w:pPr>
              <w:spacing w:before="100" w:beforeAutospacing="1" w:after="100" w:afterAutospacing="1" w:line="240" w:lineRule="auto"/>
              <w:ind w:left="525"/>
              <w:jc w:val="both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es-CO"/>
              </w:rPr>
            </w:pPr>
          </w:p>
          <w:p w:rsidR="00F73628" w:rsidRPr="00BE5D3C" w:rsidRDefault="00130C3C" w:rsidP="00732CCC">
            <w:pPr>
              <w:spacing w:before="100" w:beforeAutospacing="1" w:after="100" w:afterAutospacing="1" w:line="240" w:lineRule="auto"/>
              <w:ind w:left="525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</w:pPr>
            <w:r w:rsidRPr="00BE5D3C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  <w:t xml:space="preserve">ESPECIFICACIONES </w:t>
            </w:r>
            <w:r w:rsidR="008074EA" w:rsidRPr="00BE5D3C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  <w:t>SEGUNDO</w:t>
            </w:r>
            <w:r w:rsidR="00806D7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  <w:t xml:space="preserve"> O TERCER</w:t>
            </w:r>
            <w:r w:rsidRPr="00BE5D3C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  <w:t xml:space="preserve"> ASCENSO</w:t>
            </w:r>
          </w:p>
          <w:p w:rsidR="00130C3C" w:rsidRPr="00BE5D3C" w:rsidRDefault="00130C3C" w:rsidP="0011165F">
            <w:pPr>
              <w:spacing w:before="100" w:beforeAutospacing="1" w:after="100" w:afterAutospacing="1" w:line="240" w:lineRule="auto"/>
              <w:ind w:left="525"/>
              <w:jc w:val="both"/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</w:pPr>
          </w:p>
        </w:tc>
      </w:tr>
      <w:tr w:rsidR="00BE5D3C" w:rsidRPr="00BE5D3C" w:rsidTr="00B03A66">
        <w:trPr>
          <w:tblCellSpacing w:w="0" w:type="dxa"/>
        </w:trPr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02B" w:rsidRPr="00BE5D3C" w:rsidRDefault="0024188A" w:rsidP="0011165F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2"/>
              <w:jc w:val="both"/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</w:pPr>
            <w:r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1. </w:t>
            </w:r>
            <w:r w:rsidR="00831524"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Calificación mínima del 60% en la Evaluación ordinaria de desempeño anual durante </w:t>
            </w:r>
            <w:r w:rsidR="00833656"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el</w:t>
            </w:r>
            <w:r w:rsidR="00831524"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 (</w:t>
            </w:r>
            <w:r w:rsidR="00833656"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1</w:t>
            </w:r>
            <w:r w:rsidR="00831524"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) período inmediatamente anterior al proceso de inscripción en la Convocatoria de Evaluación de Competencias. (año</w:t>
            </w:r>
            <w:r w:rsidR="00833656"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 </w:t>
            </w:r>
            <w:r w:rsidR="00D71673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201</w:t>
            </w:r>
            <w:r w:rsidR="0094509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3</w:t>
            </w:r>
            <w:r w:rsidR="00831524"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).</w:t>
            </w:r>
          </w:p>
          <w:p w:rsidR="001C10D9" w:rsidRPr="00BE5D3C" w:rsidRDefault="0094002B" w:rsidP="0011165F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2"/>
              <w:jc w:val="both"/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</w:pPr>
            <w:r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2. </w:t>
            </w:r>
            <w:r w:rsidR="00831524"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Haber superado la Evaluación de Competencias con un puntaje superior al 80%.</w:t>
            </w:r>
          </w:p>
          <w:p w:rsidR="00F30528" w:rsidRPr="00BE5D3C" w:rsidRDefault="001C10D9" w:rsidP="0011165F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2"/>
              <w:jc w:val="both"/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</w:pPr>
            <w:r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3. </w:t>
            </w:r>
            <w:r w:rsidR="00831524"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Fotocopia del acta de grado</w:t>
            </w:r>
            <w:r w:rsidR="006108A8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 registrada</w:t>
            </w:r>
            <w:r w:rsidR="00831524"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 </w:t>
            </w:r>
            <w:r w:rsidR="0094509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(Autenticado en notaría)</w:t>
            </w:r>
            <w:r w:rsidR="0094509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 </w:t>
            </w:r>
            <w:r w:rsidR="00831524"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y título Académico exigido para cada uno de los grados: Grado 2: Licenciado o Profesional. Grado 3: Maestría o Doctorado en un área afín a la de su especialidad  o desempeño, o en un área de formación considerada fundamental dentro del proceso Enseñanza-Aprendizaje de los estudiantes.</w:t>
            </w:r>
          </w:p>
          <w:p w:rsidR="00F30528" w:rsidRPr="00BE5D3C" w:rsidRDefault="00F30528" w:rsidP="0011165F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2"/>
              <w:jc w:val="both"/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</w:pPr>
            <w:r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4. </w:t>
            </w:r>
            <w:r w:rsidR="00831524"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Form</w:t>
            </w:r>
            <w:r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ulario debidamente diligenciado.</w:t>
            </w:r>
            <w:r w:rsidR="0094509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 </w:t>
            </w:r>
            <w:r w:rsidR="0094509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(anexar correo electrónico).</w:t>
            </w:r>
            <w:bookmarkStart w:id="0" w:name="_GoBack"/>
            <w:bookmarkEnd w:id="0"/>
          </w:p>
          <w:p w:rsidR="008074EA" w:rsidRPr="00BE5D3C" w:rsidRDefault="00F30528" w:rsidP="009B31AE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2"/>
              <w:jc w:val="both"/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</w:pPr>
            <w:r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5. </w:t>
            </w:r>
            <w:r w:rsidR="00831524"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Consignación al Banco Popular. Cuenta: 19100145-2. A nombre de la Tesorería General </w:t>
            </w:r>
            <w:r w:rsidR="009B31AE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del Departamento. Valor año 2014</w:t>
            </w:r>
            <w:r w:rsidR="00831524"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: cuatro mil </w:t>
            </w:r>
            <w:r w:rsidR="009B31AE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sete</w:t>
            </w:r>
            <w:r w:rsidR="00831524"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cientos pesos (</w:t>
            </w:r>
            <w:r w:rsidR="009B31AE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  <w:t>$4.7</w:t>
            </w:r>
            <w:r w:rsidR="00831524" w:rsidRPr="00BE5D3C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  <w:t>00</w:t>
            </w:r>
            <w:r w:rsidR="00831524"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).</w:t>
            </w:r>
          </w:p>
        </w:tc>
      </w:tr>
      <w:tr w:rsidR="00BE5D3C" w:rsidRPr="00B03A66" w:rsidTr="00B03A66">
        <w:trPr>
          <w:tblCellSpacing w:w="0" w:type="dxa"/>
        </w:trPr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66" w:rsidRPr="00B03A66" w:rsidRDefault="00B03A66" w:rsidP="0011165F">
            <w:pPr>
              <w:spacing w:before="100" w:beforeAutospacing="1" w:after="100" w:afterAutospacing="1" w:line="240" w:lineRule="auto"/>
              <w:ind w:left="525"/>
              <w:jc w:val="both"/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</w:pPr>
          </w:p>
        </w:tc>
      </w:tr>
    </w:tbl>
    <w:p w:rsidR="00E3634C" w:rsidRPr="00BE5D3C" w:rsidRDefault="00E3634C" w:rsidP="0011165F">
      <w:pPr>
        <w:spacing w:line="240" w:lineRule="auto"/>
        <w:jc w:val="both"/>
      </w:pPr>
    </w:p>
    <w:sectPr w:rsidR="00E3634C" w:rsidRPr="00BE5D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3624"/>
    <w:multiLevelType w:val="multilevel"/>
    <w:tmpl w:val="93BE5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2C5C37"/>
    <w:multiLevelType w:val="multilevel"/>
    <w:tmpl w:val="E4C4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8F4589"/>
    <w:multiLevelType w:val="hybridMultilevel"/>
    <w:tmpl w:val="B1604BB4"/>
    <w:lvl w:ilvl="0" w:tplc="B01EE466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605" w:hanging="360"/>
      </w:pPr>
    </w:lvl>
    <w:lvl w:ilvl="2" w:tplc="240A001B" w:tentative="1">
      <w:start w:val="1"/>
      <w:numFmt w:val="lowerRoman"/>
      <w:lvlText w:val="%3."/>
      <w:lvlJc w:val="right"/>
      <w:pPr>
        <w:ind w:left="2325" w:hanging="180"/>
      </w:pPr>
    </w:lvl>
    <w:lvl w:ilvl="3" w:tplc="240A000F" w:tentative="1">
      <w:start w:val="1"/>
      <w:numFmt w:val="decimal"/>
      <w:lvlText w:val="%4."/>
      <w:lvlJc w:val="left"/>
      <w:pPr>
        <w:ind w:left="3045" w:hanging="360"/>
      </w:pPr>
    </w:lvl>
    <w:lvl w:ilvl="4" w:tplc="240A0019" w:tentative="1">
      <w:start w:val="1"/>
      <w:numFmt w:val="lowerLetter"/>
      <w:lvlText w:val="%5."/>
      <w:lvlJc w:val="left"/>
      <w:pPr>
        <w:ind w:left="3765" w:hanging="360"/>
      </w:pPr>
    </w:lvl>
    <w:lvl w:ilvl="5" w:tplc="240A001B" w:tentative="1">
      <w:start w:val="1"/>
      <w:numFmt w:val="lowerRoman"/>
      <w:lvlText w:val="%6."/>
      <w:lvlJc w:val="right"/>
      <w:pPr>
        <w:ind w:left="4485" w:hanging="180"/>
      </w:pPr>
    </w:lvl>
    <w:lvl w:ilvl="6" w:tplc="240A000F" w:tentative="1">
      <w:start w:val="1"/>
      <w:numFmt w:val="decimal"/>
      <w:lvlText w:val="%7."/>
      <w:lvlJc w:val="left"/>
      <w:pPr>
        <w:ind w:left="5205" w:hanging="360"/>
      </w:pPr>
    </w:lvl>
    <w:lvl w:ilvl="7" w:tplc="240A0019" w:tentative="1">
      <w:start w:val="1"/>
      <w:numFmt w:val="lowerLetter"/>
      <w:lvlText w:val="%8."/>
      <w:lvlJc w:val="left"/>
      <w:pPr>
        <w:ind w:left="5925" w:hanging="360"/>
      </w:pPr>
    </w:lvl>
    <w:lvl w:ilvl="8" w:tplc="240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7F33133E"/>
    <w:multiLevelType w:val="hybridMultilevel"/>
    <w:tmpl w:val="D3A4ED22"/>
    <w:lvl w:ilvl="0" w:tplc="F3B0429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05" w:hanging="360"/>
      </w:pPr>
    </w:lvl>
    <w:lvl w:ilvl="2" w:tplc="240A001B" w:tentative="1">
      <w:start w:val="1"/>
      <w:numFmt w:val="lowerRoman"/>
      <w:lvlText w:val="%3."/>
      <w:lvlJc w:val="right"/>
      <w:pPr>
        <w:ind w:left="2325" w:hanging="180"/>
      </w:pPr>
    </w:lvl>
    <w:lvl w:ilvl="3" w:tplc="240A000F" w:tentative="1">
      <w:start w:val="1"/>
      <w:numFmt w:val="decimal"/>
      <w:lvlText w:val="%4."/>
      <w:lvlJc w:val="left"/>
      <w:pPr>
        <w:ind w:left="3045" w:hanging="360"/>
      </w:pPr>
    </w:lvl>
    <w:lvl w:ilvl="4" w:tplc="240A0019" w:tentative="1">
      <w:start w:val="1"/>
      <w:numFmt w:val="lowerLetter"/>
      <w:lvlText w:val="%5."/>
      <w:lvlJc w:val="left"/>
      <w:pPr>
        <w:ind w:left="3765" w:hanging="360"/>
      </w:pPr>
    </w:lvl>
    <w:lvl w:ilvl="5" w:tplc="240A001B" w:tentative="1">
      <w:start w:val="1"/>
      <w:numFmt w:val="lowerRoman"/>
      <w:lvlText w:val="%6."/>
      <w:lvlJc w:val="right"/>
      <w:pPr>
        <w:ind w:left="4485" w:hanging="180"/>
      </w:pPr>
    </w:lvl>
    <w:lvl w:ilvl="6" w:tplc="240A000F" w:tentative="1">
      <w:start w:val="1"/>
      <w:numFmt w:val="decimal"/>
      <w:lvlText w:val="%7."/>
      <w:lvlJc w:val="left"/>
      <w:pPr>
        <w:ind w:left="5205" w:hanging="360"/>
      </w:pPr>
    </w:lvl>
    <w:lvl w:ilvl="7" w:tplc="240A0019" w:tentative="1">
      <w:start w:val="1"/>
      <w:numFmt w:val="lowerLetter"/>
      <w:lvlText w:val="%8."/>
      <w:lvlJc w:val="left"/>
      <w:pPr>
        <w:ind w:left="5925" w:hanging="360"/>
      </w:pPr>
    </w:lvl>
    <w:lvl w:ilvl="8" w:tplc="240A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66"/>
    <w:rsid w:val="00004F2E"/>
    <w:rsid w:val="000443C6"/>
    <w:rsid w:val="0004626A"/>
    <w:rsid w:val="00083E29"/>
    <w:rsid w:val="000B3D83"/>
    <w:rsid w:val="000C1F5A"/>
    <w:rsid w:val="000F4479"/>
    <w:rsid w:val="0011165F"/>
    <w:rsid w:val="00130C3C"/>
    <w:rsid w:val="001A2F10"/>
    <w:rsid w:val="001B4BA7"/>
    <w:rsid w:val="001C10D9"/>
    <w:rsid w:val="001F1782"/>
    <w:rsid w:val="001F43CB"/>
    <w:rsid w:val="0024188A"/>
    <w:rsid w:val="00242E9A"/>
    <w:rsid w:val="002478F8"/>
    <w:rsid w:val="00247979"/>
    <w:rsid w:val="00284BB9"/>
    <w:rsid w:val="002C5C09"/>
    <w:rsid w:val="003126FA"/>
    <w:rsid w:val="00320A89"/>
    <w:rsid w:val="0039185D"/>
    <w:rsid w:val="003D768C"/>
    <w:rsid w:val="00485E80"/>
    <w:rsid w:val="00580934"/>
    <w:rsid w:val="00595A38"/>
    <w:rsid w:val="005B74F3"/>
    <w:rsid w:val="005C6C72"/>
    <w:rsid w:val="0061022E"/>
    <w:rsid w:val="006108A8"/>
    <w:rsid w:val="00621D2B"/>
    <w:rsid w:val="006A3DF5"/>
    <w:rsid w:val="006F174A"/>
    <w:rsid w:val="00732CCC"/>
    <w:rsid w:val="00752FD6"/>
    <w:rsid w:val="008009AC"/>
    <w:rsid w:val="00803317"/>
    <w:rsid w:val="00806D7A"/>
    <w:rsid w:val="008074EA"/>
    <w:rsid w:val="00814608"/>
    <w:rsid w:val="00831524"/>
    <w:rsid w:val="00833656"/>
    <w:rsid w:val="008B5EBC"/>
    <w:rsid w:val="00904971"/>
    <w:rsid w:val="00907B8A"/>
    <w:rsid w:val="0094002B"/>
    <w:rsid w:val="00945096"/>
    <w:rsid w:val="00945326"/>
    <w:rsid w:val="0098699A"/>
    <w:rsid w:val="009A20FB"/>
    <w:rsid w:val="009B31AE"/>
    <w:rsid w:val="009E02E2"/>
    <w:rsid w:val="00A41EFD"/>
    <w:rsid w:val="00A7373D"/>
    <w:rsid w:val="00A822E9"/>
    <w:rsid w:val="00AA2ADA"/>
    <w:rsid w:val="00B03A66"/>
    <w:rsid w:val="00B330AB"/>
    <w:rsid w:val="00B64763"/>
    <w:rsid w:val="00B65E4C"/>
    <w:rsid w:val="00B87D82"/>
    <w:rsid w:val="00BD351E"/>
    <w:rsid w:val="00BE5D3C"/>
    <w:rsid w:val="00BF1C9A"/>
    <w:rsid w:val="00C01CBF"/>
    <w:rsid w:val="00CE6E86"/>
    <w:rsid w:val="00D67A66"/>
    <w:rsid w:val="00D71673"/>
    <w:rsid w:val="00DA162F"/>
    <w:rsid w:val="00E11633"/>
    <w:rsid w:val="00E3634C"/>
    <w:rsid w:val="00E96016"/>
    <w:rsid w:val="00ED3836"/>
    <w:rsid w:val="00F10E9F"/>
    <w:rsid w:val="00F30528"/>
    <w:rsid w:val="00F7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03A66"/>
    <w:rPr>
      <w:b/>
      <w:bCs/>
    </w:rPr>
  </w:style>
  <w:style w:type="paragraph" w:styleId="NormalWeb">
    <w:name w:val="Normal (Web)"/>
    <w:basedOn w:val="Normal"/>
    <w:uiPriority w:val="99"/>
    <w:unhideWhenUsed/>
    <w:rsid w:val="00B03A6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B03A66"/>
    <w:rPr>
      <w:i/>
      <w:iCs/>
    </w:rPr>
  </w:style>
  <w:style w:type="paragraph" w:styleId="Prrafodelista">
    <w:name w:val="List Paragraph"/>
    <w:basedOn w:val="Normal"/>
    <w:uiPriority w:val="34"/>
    <w:qFormat/>
    <w:rsid w:val="00A822E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5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5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03A66"/>
    <w:rPr>
      <w:b/>
      <w:bCs/>
    </w:rPr>
  </w:style>
  <w:style w:type="paragraph" w:styleId="NormalWeb">
    <w:name w:val="Normal (Web)"/>
    <w:basedOn w:val="Normal"/>
    <w:uiPriority w:val="99"/>
    <w:unhideWhenUsed/>
    <w:rsid w:val="00B03A6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B03A66"/>
    <w:rPr>
      <w:i/>
      <w:iCs/>
    </w:rPr>
  </w:style>
  <w:style w:type="paragraph" w:styleId="Prrafodelista">
    <w:name w:val="List Paragraph"/>
    <w:basedOn w:val="Normal"/>
    <w:uiPriority w:val="34"/>
    <w:qFormat/>
    <w:rsid w:val="00A822E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5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5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4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NANCLARES MARQUEZ</dc:creator>
  <cp:lastModifiedBy>MONICA MARIA BELTRAN MONTOYA</cp:lastModifiedBy>
  <cp:revision>2</cp:revision>
  <cp:lastPrinted>2011-11-17T20:11:00Z</cp:lastPrinted>
  <dcterms:created xsi:type="dcterms:W3CDTF">2014-12-23T14:47:00Z</dcterms:created>
  <dcterms:modified xsi:type="dcterms:W3CDTF">2014-12-23T14:47:00Z</dcterms:modified>
</cp:coreProperties>
</file>